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EF6F" w14:textId="03486E0D" w:rsidR="00BA6F39" w:rsidRPr="00B234E5" w:rsidRDefault="00D72A7B" w:rsidP="00BA6F39">
      <w:pPr>
        <w:pStyle w:val="Title"/>
        <w:jc w:val="center"/>
        <w:rPr>
          <w:b/>
          <w:bCs/>
          <w:color w:val="000000" w:themeColor="text1"/>
          <w:sz w:val="52"/>
          <w:szCs w:val="52"/>
        </w:rPr>
      </w:pPr>
      <w:r w:rsidRPr="00C831A2">
        <w:rPr>
          <w:b/>
          <w:bCs/>
          <w:noProof/>
          <w:color w:val="EC902C"/>
          <w:sz w:val="44"/>
          <w:szCs w:val="44"/>
        </w:rPr>
        <w:t xml:space="preserve">The </w:t>
      </w:r>
      <w:r w:rsidR="008E2A83" w:rsidRPr="00C831A2">
        <w:rPr>
          <w:b/>
          <w:bCs/>
          <w:noProof/>
          <w:color w:val="EC902C"/>
          <w:sz w:val="44"/>
          <w:szCs w:val="44"/>
        </w:rPr>
        <w:t>c</w:t>
      </w:r>
      <w:r w:rsidRPr="00C831A2">
        <w:rPr>
          <w:b/>
          <w:bCs/>
          <w:noProof/>
          <w:color w:val="EC902C"/>
          <w:sz w:val="44"/>
          <w:szCs w:val="44"/>
        </w:rPr>
        <w:t>ase</w:t>
      </w:r>
      <w:r w:rsidRPr="00C831A2">
        <w:rPr>
          <w:b/>
          <w:bCs/>
          <w:color w:val="EC902C"/>
          <w:sz w:val="44"/>
          <w:szCs w:val="44"/>
        </w:rPr>
        <w:t xml:space="preserve"> for </w:t>
      </w:r>
      <w:r w:rsidR="0055365C" w:rsidRPr="00C831A2">
        <w:rPr>
          <w:b/>
          <w:bCs/>
          <w:color w:val="EC902C"/>
          <w:sz w:val="44"/>
          <w:szCs w:val="44"/>
        </w:rPr>
        <w:t>s</w:t>
      </w:r>
      <w:r w:rsidR="00F738A5" w:rsidRPr="00C831A2">
        <w:rPr>
          <w:b/>
          <w:bCs/>
          <w:color w:val="EC902C"/>
          <w:sz w:val="44"/>
          <w:szCs w:val="44"/>
        </w:rPr>
        <w:t>upra-</w:t>
      </w:r>
      <w:r w:rsidR="0055365C" w:rsidRPr="00C831A2">
        <w:rPr>
          <w:b/>
          <w:bCs/>
          <w:color w:val="EC902C"/>
          <w:sz w:val="44"/>
          <w:szCs w:val="44"/>
        </w:rPr>
        <w:t>l</w:t>
      </w:r>
      <w:r w:rsidR="00F738A5" w:rsidRPr="00C831A2">
        <w:rPr>
          <w:b/>
          <w:bCs/>
          <w:color w:val="EC902C"/>
          <w:sz w:val="44"/>
          <w:szCs w:val="44"/>
        </w:rPr>
        <w:t>ocal</w:t>
      </w:r>
      <w:r w:rsidR="0055365C" w:rsidRPr="00C831A2">
        <w:rPr>
          <w:b/>
          <w:bCs/>
          <w:color w:val="EC902C"/>
          <w:sz w:val="44"/>
          <w:szCs w:val="44"/>
        </w:rPr>
        <w:t>, system-wide,</w:t>
      </w:r>
      <w:r w:rsidR="00BA6F39" w:rsidRPr="00C831A2">
        <w:rPr>
          <w:b/>
          <w:bCs/>
          <w:color w:val="EC902C"/>
          <w:sz w:val="44"/>
          <w:szCs w:val="44"/>
        </w:rPr>
        <w:t xml:space="preserve"> </w:t>
      </w:r>
      <w:r w:rsidR="008E2A83" w:rsidRPr="00C831A2">
        <w:rPr>
          <w:b/>
          <w:bCs/>
          <w:color w:val="EC902C"/>
          <w:sz w:val="44"/>
          <w:szCs w:val="44"/>
        </w:rPr>
        <w:t>t</w:t>
      </w:r>
      <w:r w:rsidR="00BA6F39" w:rsidRPr="00C831A2">
        <w:rPr>
          <w:b/>
          <w:bCs/>
          <w:color w:val="EC902C"/>
          <w:sz w:val="44"/>
          <w:szCs w:val="44"/>
        </w:rPr>
        <w:t xml:space="preserve">obacco </w:t>
      </w:r>
      <w:r w:rsidR="008E2A83" w:rsidRPr="00C831A2">
        <w:rPr>
          <w:b/>
          <w:bCs/>
          <w:color w:val="EC902C"/>
          <w:sz w:val="44"/>
          <w:szCs w:val="44"/>
        </w:rPr>
        <w:t>c</w:t>
      </w:r>
      <w:r w:rsidR="00BA6F39" w:rsidRPr="00C831A2">
        <w:rPr>
          <w:b/>
          <w:bCs/>
          <w:color w:val="EC902C"/>
          <w:sz w:val="44"/>
          <w:szCs w:val="44"/>
        </w:rPr>
        <w:t>ontrol</w:t>
      </w:r>
      <w:r w:rsidR="00A63057" w:rsidRPr="00B234E5">
        <w:rPr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D53723D" wp14:editId="35526D65">
            <wp:simplePos x="0" y="0"/>
            <wp:positionH relativeFrom="column">
              <wp:posOffset>5435600</wp:posOffset>
            </wp:positionH>
            <wp:positionV relativeFrom="paragraph">
              <wp:posOffset>-546100</wp:posOffset>
            </wp:positionV>
            <wp:extent cx="822325" cy="463149"/>
            <wp:effectExtent l="0" t="0" r="317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46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085"/>
      </w:tblGrid>
      <w:tr w:rsidR="00BA6F39" w:rsidRPr="00D72A7B" w14:paraId="1189B521" w14:textId="77777777" w:rsidTr="00D20436">
        <w:tc>
          <w:tcPr>
            <w:tcW w:w="1844" w:type="dxa"/>
          </w:tcPr>
          <w:p w14:paraId="31D64BAF" w14:textId="77777777" w:rsidR="00BA6F39" w:rsidRPr="00D72A7B" w:rsidRDefault="00BA6F39" w:rsidP="009C7258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85" w:type="dxa"/>
          </w:tcPr>
          <w:p w14:paraId="052257AA" w14:textId="51ED6671" w:rsidR="00BA6F39" w:rsidRPr="00D72A7B" w:rsidRDefault="00BA6F39" w:rsidP="009C7258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B234E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Background</w:t>
            </w:r>
          </w:p>
        </w:tc>
      </w:tr>
      <w:tr w:rsidR="00BA6F39" w:rsidRPr="00D72A7B" w14:paraId="0CB02455" w14:textId="77777777" w:rsidTr="00D20436">
        <w:tc>
          <w:tcPr>
            <w:tcW w:w="1844" w:type="dxa"/>
          </w:tcPr>
          <w:p w14:paraId="6AF67872" w14:textId="7E511E60" w:rsidR="00BA6F39" w:rsidRPr="00D72A7B" w:rsidRDefault="00F82BEA" w:rsidP="009C7258">
            <w:pPr>
              <w:rPr>
                <w:rFonts w:ascii="Arial" w:hAnsi="Arial" w:cs="Arial"/>
                <w:b/>
                <w:bCs/>
              </w:rPr>
            </w:pPr>
            <w:r w:rsidRPr="00D72A7B">
              <w:rPr>
                <w:rFonts w:ascii="Arial" w:hAnsi="Arial" w:cs="Arial"/>
                <w:b/>
                <w:bCs/>
              </w:rPr>
              <w:t xml:space="preserve">Smoking </w:t>
            </w:r>
            <w:r w:rsidR="00C53185">
              <w:rPr>
                <w:rFonts w:ascii="Arial" w:hAnsi="Arial" w:cs="Arial"/>
                <w:b/>
                <w:bCs/>
              </w:rPr>
              <w:t xml:space="preserve">drives health inequalities </w:t>
            </w:r>
          </w:p>
        </w:tc>
        <w:tc>
          <w:tcPr>
            <w:tcW w:w="8085" w:type="dxa"/>
          </w:tcPr>
          <w:p w14:paraId="62BD2137" w14:textId="1CD26C5C" w:rsidR="00BA6F39" w:rsidRPr="00D72A7B" w:rsidRDefault="008613FA" w:rsidP="006B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Tobacco is the leading cause of premature years of life lost</w:t>
            </w:r>
            <w:r w:rsidR="005F7EF6">
              <w:rPr>
                <w:rFonts w:ascii="Arial" w:hAnsi="Arial" w:cs="Arial"/>
              </w:rPr>
              <w:t xml:space="preserve"> and </w:t>
            </w:r>
            <w:r w:rsidR="00006513">
              <w:rPr>
                <w:rFonts w:ascii="Arial" w:hAnsi="Arial" w:cs="Arial"/>
              </w:rPr>
              <w:t>is responsible for half</w:t>
            </w:r>
            <w:r>
              <w:rPr>
                <w:rFonts w:ascii="Arial" w:hAnsi="Arial" w:cs="Arial"/>
              </w:rPr>
              <w:t xml:space="preserve"> </w:t>
            </w:r>
            <w:r w:rsidR="005F7EF6">
              <w:rPr>
                <w:rFonts w:ascii="Arial" w:hAnsi="Arial" w:cs="Arial"/>
              </w:rPr>
              <w:t xml:space="preserve">the difference in life expectancy between the most and </w:t>
            </w:r>
            <w:r w:rsidR="005F7EF6" w:rsidRPr="00A63057">
              <w:rPr>
                <w:rFonts w:ascii="Arial" w:hAnsi="Arial" w:cs="Arial"/>
              </w:rPr>
              <w:t xml:space="preserve">least deprived in society. </w:t>
            </w:r>
            <w:r w:rsidR="00B234E5" w:rsidRPr="00A63057">
              <w:rPr>
                <w:rFonts w:ascii="Arial" w:hAnsi="Arial" w:cs="Arial"/>
              </w:rPr>
              <w:t xml:space="preserve">Around 6.1m people </w:t>
            </w:r>
            <w:r w:rsidR="00B234E5">
              <w:rPr>
                <w:rFonts w:ascii="Arial" w:hAnsi="Arial" w:cs="Arial"/>
              </w:rPr>
              <w:t xml:space="preserve">still </w:t>
            </w:r>
            <w:r w:rsidR="00B234E5" w:rsidRPr="00A63057">
              <w:rPr>
                <w:rFonts w:ascii="Arial" w:hAnsi="Arial" w:cs="Arial"/>
              </w:rPr>
              <w:t>smoke in England. Smoking causes 448,000 hospital admissions and almost 64,000 deaths per year.</w:t>
            </w:r>
            <w:r w:rsidR="00B234E5" w:rsidRPr="00D72A7B">
              <w:rPr>
                <w:rFonts w:ascii="Arial" w:hAnsi="Arial" w:cs="Arial"/>
              </w:rPr>
              <w:t xml:space="preserve"> </w:t>
            </w:r>
          </w:p>
        </w:tc>
      </w:tr>
      <w:tr w:rsidR="00C53185" w:rsidRPr="00D72A7B" w14:paraId="7361B1A5" w14:textId="77777777" w:rsidTr="00D20436">
        <w:tc>
          <w:tcPr>
            <w:tcW w:w="1844" w:type="dxa"/>
          </w:tcPr>
          <w:p w14:paraId="232AC16D" w14:textId="7A43481A" w:rsidR="00C53185" w:rsidRPr="00D72A7B" w:rsidRDefault="00C53185" w:rsidP="009C7258">
            <w:pPr>
              <w:rPr>
                <w:rFonts w:ascii="Arial" w:hAnsi="Arial" w:cs="Arial"/>
                <w:b/>
                <w:bCs/>
              </w:rPr>
            </w:pPr>
            <w:r w:rsidRPr="00D72A7B">
              <w:rPr>
                <w:rFonts w:ascii="Arial" w:hAnsi="Arial" w:cs="Arial"/>
                <w:b/>
                <w:bCs/>
              </w:rPr>
              <w:t xml:space="preserve">Smoking </w:t>
            </w:r>
            <w:r>
              <w:rPr>
                <w:rFonts w:ascii="Arial" w:hAnsi="Arial" w:cs="Arial"/>
                <w:b/>
                <w:bCs/>
              </w:rPr>
              <w:t>undermines prosperity</w:t>
            </w:r>
            <w:r w:rsidR="001718B5">
              <w:rPr>
                <w:rFonts w:ascii="Arial" w:hAnsi="Arial" w:cs="Arial"/>
                <w:b/>
                <w:bCs/>
              </w:rPr>
              <w:t xml:space="preserve"> and drives poverty</w:t>
            </w:r>
          </w:p>
        </w:tc>
        <w:tc>
          <w:tcPr>
            <w:tcW w:w="8085" w:type="dxa"/>
          </w:tcPr>
          <w:p w14:paraId="3A4B3CA1" w14:textId="5DD6D150" w:rsidR="00C53185" w:rsidRDefault="00C53185" w:rsidP="006B5EC5">
            <w:pPr>
              <w:rPr>
                <w:rFonts w:ascii="Arial" w:hAnsi="Arial" w:cs="Arial"/>
              </w:rPr>
            </w:pPr>
            <w:r w:rsidRPr="00D72A7B">
              <w:rPr>
                <w:rFonts w:ascii="Arial" w:hAnsi="Arial" w:cs="Arial"/>
              </w:rPr>
              <w:t xml:space="preserve">Smoking is estimated </w:t>
            </w:r>
            <w:r w:rsidR="00A63057">
              <w:rPr>
                <w:rFonts w:ascii="Arial" w:hAnsi="Arial" w:cs="Arial"/>
              </w:rPr>
              <w:t>to cost England £17.04bn</w:t>
            </w:r>
            <w:r w:rsidRPr="00D72A7B">
              <w:rPr>
                <w:rFonts w:ascii="Arial" w:hAnsi="Arial" w:cs="Arial"/>
              </w:rPr>
              <w:t xml:space="preserve"> per year due to health and social care costs, lost earnings and employment, and fire damage. The average smoker now spends £2,500 per year on tobacco, the same as the average energy bill.</w:t>
            </w:r>
            <w:r>
              <w:rPr>
                <w:rFonts w:ascii="Arial" w:hAnsi="Arial" w:cs="Arial"/>
              </w:rPr>
              <w:t xml:space="preserve"> An estimated</w:t>
            </w:r>
            <w:r w:rsidR="00A63057">
              <w:rPr>
                <w:rFonts w:ascii="Arial" w:hAnsi="Arial" w:cs="Arial"/>
              </w:rPr>
              <w:t xml:space="preserve"> 1.64m</w:t>
            </w:r>
            <w:r>
              <w:rPr>
                <w:rFonts w:ascii="Arial" w:hAnsi="Arial" w:cs="Arial"/>
              </w:rPr>
              <w:t xml:space="preserve"> households containing smokers are in poverty once expenditure on smoking is taken into account.</w:t>
            </w:r>
          </w:p>
        </w:tc>
      </w:tr>
      <w:tr w:rsidR="00BA6F39" w:rsidRPr="00D72A7B" w14:paraId="5878DCA5" w14:textId="77777777" w:rsidTr="00D20436">
        <w:tc>
          <w:tcPr>
            <w:tcW w:w="1844" w:type="dxa"/>
          </w:tcPr>
          <w:p w14:paraId="63C3F186" w14:textId="2A26CAE4" w:rsidR="00BA6F39" w:rsidRPr="00D72A7B" w:rsidRDefault="005B5641" w:rsidP="009C7258">
            <w:pPr>
              <w:rPr>
                <w:rFonts w:ascii="Arial" w:hAnsi="Arial" w:cs="Arial"/>
                <w:b/>
                <w:bCs/>
              </w:rPr>
            </w:pPr>
            <w:r w:rsidRPr="00D72A7B">
              <w:rPr>
                <w:rFonts w:ascii="Arial" w:hAnsi="Arial" w:cs="Arial"/>
                <w:b/>
                <w:bCs/>
              </w:rPr>
              <w:t>More</w:t>
            </w:r>
            <w:r w:rsidR="00DD7A13" w:rsidRPr="00D72A7B">
              <w:rPr>
                <w:rFonts w:ascii="Arial" w:hAnsi="Arial" w:cs="Arial"/>
                <w:b/>
                <w:bCs/>
              </w:rPr>
              <w:t xml:space="preserve"> </w:t>
            </w:r>
            <w:r w:rsidR="00741E99" w:rsidRPr="00D72A7B">
              <w:rPr>
                <w:rFonts w:ascii="Arial" w:hAnsi="Arial" w:cs="Arial"/>
                <w:b/>
                <w:bCs/>
              </w:rPr>
              <w:t>action is needed to</w:t>
            </w:r>
            <w:r w:rsidR="00DD7A13" w:rsidRPr="00D72A7B">
              <w:rPr>
                <w:rFonts w:ascii="Arial" w:hAnsi="Arial" w:cs="Arial"/>
                <w:b/>
                <w:bCs/>
              </w:rPr>
              <w:t xml:space="preserve"> </w:t>
            </w:r>
            <w:r w:rsidRPr="00D72A7B">
              <w:rPr>
                <w:rFonts w:ascii="Arial" w:hAnsi="Arial" w:cs="Arial"/>
                <w:b/>
                <w:bCs/>
              </w:rPr>
              <w:t xml:space="preserve">reach a smokefree 2030 </w:t>
            </w:r>
          </w:p>
        </w:tc>
        <w:tc>
          <w:tcPr>
            <w:tcW w:w="8085" w:type="dxa"/>
          </w:tcPr>
          <w:p w14:paraId="4DADBF20" w14:textId="6C0BED96" w:rsidR="0055365C" w:rsidRDefault="00741E99" w:rsidP="0055365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20436">
              <w:rPr>
                <w:rFonts w:ascii="Arial" w:hAnsi="Arial" w:cs="Arial"/>
              </w:rPr>
              <w:t xml:space="preserve">The national ambition to get </w:t>
            </w:r>
            <w:r w:rsidR="00806052" w:rsidRPr="00D20436">
              <w:rPr>
                <w:rFonts w:ascii="Arial" w:hAnsi="Arial" w:cs="Arial"/>
              </w:rPr>
              <w:t xml:space="preserve">rates of smoking </w:t>
            </w:r>
            <w:r w:rsidRPr="00D20436">
              <w:rPr>
                <w:rFonts w:ascii="Arial" w:hAnsi="Arial" w:cs="Arial"/>
              </w:rPr>
              <w:t>to less than 5% by 2030</w:t>
            </w:r>
            <w:r w:rsidR="006B1D97">
              <w:rPr>
                <w:rFonts w:ascii="Arial" w:hAnsi="Arial" w:cs="Arial"/>
              </w:rPr>
              <w:t xml:space="preserve"> </w:t>
            </w:r>
            <w:r w:rsidR="0055365C" w:rsidRPr="00D20436">
              <w:rPr>
                <w:rFonts w:ascii="Arial" w:hAnsi="Arial" w:cs="Arial"/>
              </w:rPr>
              <w:t>is likely to</w:t>
            </w:r>
            <w:r w:rsidRPr="00D20436">
              <w:rPr>
                <w:rFonts w:ascii="Arial" w:hAnsi="Arial" w:cs="Arial"/>
              </w:rPr>
              <w:t xml:space="preserve"> be missed by 9 years. </w:t>
            </w:r>
          </w:p>
          <w:p w14:paraId="54BDB310" w14:textId="572368FB" w:rsidR="0055365C" w:rsidRDefault="0055365C" w:rsidP="0055365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is slowest in the most deprived deciles compared to the least deprived</w:t>
            </w:r>
            <w:r w:rsidR="001655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risking widening inequalities</w:t>
            </w:r>
            <w:r w:rsidR="008E2A83">
              <w:rPr>
                <w:rFonts w:ascii="Arial" w:hAnsi="Arial" w:cs="Arial"/>
              </w:rPr>
              <w:t>.</w:t>
            </w:r>
          </w:p>
          <w:p w14:paraId="60E1A64C" w14:textId="3A6E0A68" w:rsidR="0055365C" w:rsidRDefault="00B234E5" w:rsidP="0055365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542D7">
              <w:rPr>
                <w:rFonts w:ascii="Arial" w:hAnsi="Arial" w:cs="Arial"/>
              </w:rPr>
              <w:t>M</w:t>
            </w:r>
            <w:r w:rsidR="00355543" w:rsidRPr="000542D7">
              <w:rPr>
                <w:rFonts w:ascii="Arial" w:hAnsi="Arial" w:cs="Arial"/>
              </w:rPr>
              <w:t>ulti-strand</w:t>
            </w:r>
            <w:r w:rsidR="000C2F6A" w:rsidRPr="000542D7">
              <w:rPr>
                <w:rFonts w:ascii="Arial" w:hAnsi="Arial" w:cs="Arial"/>
              </w:rPr>
              <w:t xml:space="preserve"> tobacco control strategies</w:t>
            </w:r>
            <w:r w:rsidR="0055365C">
              <w:rPr>
                <w:rFonts w:ascii="Arial" w:hAnsi="Arial" w:cs="Arial"/>
              </w:rPr>
              <w:t xml:space="preserve"> at sufficiently large population levels</w:t>
            </w:r>
            <w:r w:rsidR="000C2F6A" w:rsidRPr="000542D7">
              <w:rPr>
                <w:rFonts w:ascii="Arial" w:hAnsi="Arial" w:cs="Arial"/>
              </w:rPr>
              <w:t xml:space="preserve"> </w:t>
            </w:r>
            <w:r w:rsidR="0055365C">
              <w:rPr>
                <w:rFonts w:ascii="Arial" w:hAnsi="Arial" w:cs="Arial"/>
              </w:rPr>
              <w:t xml:space="preserve">can </w:t>
            </w:r>
            <w:r w:rsidR="000C2F6A" w:rsidRPr="000542D7">
              <w:rPr>
                <w:rFonts w:ascii="Arial" w:hAnsi="Arial" w:cs="Arial"/>
              </w:rPr>
              <w:t xml:space="preserve">stimulate </w:t>
            </w:r>
            <w:r w:rsidRPr="000542D7">
              <w:rPr>
                <w:rFonts w:ascii="Arial" w:hAnsi="Arial" w:cs="Arial"/>
              </w:rPr>
              <w:t xml:space="preserve">quit </w:t>
            </w:r>
            <w:r w:rsidR="000C2F6A" w:rsidRPr="000542D7">
              <w:rPr>
                <w:rFonts w:ascii="Arial" w:hAnsi="Arial" w:cs="Arial"/>
              </w:rPr>
              <w:t xml:space="preserve">attempts, support </w:t>
            </w:r>
            <w:r w:rsidR="00806052" w:rsidRPr="000542D7">
              <w:rPr>
                <w:rFonts w:ascii="Arial" w:hAnsi="Arial" w:cs="Arial"/>
              </w:rPr>
              <w:t>quit success</w:t>
            </w:r>
            <w:r w:rsidR="000C2F6A" w:rsidRPr="000542D7">
              <w:rPr>
                <w:rFonts w:ascii="Arial" w:hAnsi="Arial" w:cs="Arial"/>
              </w:rPr>
              <w:t xml:space="preserve">, and prevent </w:t>
            </w:r>
            <w:r w:rsidR="00806052" w:rsidRPr="000542D7">
              <w:rPr>
                <w:rFonts w:ascii="Arial" w:hAnsi="Arial" w:cs="Arial"/>
              </w:rPr>
              <w:t>uptake</w:t>
            </w:r>
            <w:r w:rsidR="0055365C">
              <w:rPr>
                <w:rFonts w:ascii="Arial" w:hAnsi="Arial" w:cs="Arial"/>
              </w:rPr>
              <w:t xml:space="preserve"> above existing activity at place</w:t>
            </w:r>
            <w:r w:rsidR="000C2F6A" w:rsidRPr="000542D7">
              <w:rPr>
                <w:rFonts w:ascii="Arial" w:hAnsi="Arial" w:cs="Arial"/>
              </w:rPr>
              <w:t xml:space="preserve">. </w:t>
            </w:r>
          </w:p>
          <w:p w14:paraId="777B83B6" w14:textId="0CFC9AB5" w:rsidR="00F25FB8" w:rsidRPr="000542D7" w:rsidRDefault="00E517EF" w:rsidP="000542D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542D7">
              <w:rPr>
                <w:rFonts w:ascii="Arial" w:hAnsi="Arial" w:cs="Arial"/>
              </w:rPr>
              <w:t>However, l</w:t>
            </w:r>
            <w:r w:rsidR="00483261" w:rsidRPr="000542D7">
              <w:rPr>
                <w:rFonts w:ascii="Arial" w:hAnsi="Arial" w:cs="Arial"/>
              </w:rPr>
              <w:t xml:space="preserve">ocal authority </w:t>
            </w:r>
            <w:r w:rsidR="0055365C">
              <w:rPr>
                <w:rFonts w:ascii="Arial" w:hAnsi="Arial" w:cs="Arial"/>
              </w:rPr>
              <w:t>spending to</w:t>
            </w:r>
            <w:r w:rsidR="005B5641" w:rsidRPr="000542D7">
              <w:rPr>
                <w:rFonts w:ascii="Arial" w:hAnsi="Arial" w:cs="Arial"/>
              </w:rPr>
              <w:t xml:space="preserve"> reduce</w:t>
            </w:r>
            <w:r w:rsidR="0055365C">
              <w:rPr>
                <w:rFonts w:ascii="Arial" w:hAnsi="Arial" w:cs="Arial"/>
              </w:rPr>
              <w:t xml:space="preserve"> smoking has fallen</w:t>
            </w:r>
            <w:r w:rsidR="000542D7">
              <w:rPr>
                <w:rFonts w:ascii="Arial" w:hAnsi="Arial" w:cs="Arial"/>
              </w:rPr>
              <w:t xml:space="preserve"> by</w:t>
            </w:r>
            <w:r w:rsidR="005B5641" w:rsidRPr="000542D7">
              <w:rPr>
                <w:rFonts w:ascii="Arial" w:hAnsi="Arial" w:cs="Arial"/>
              </w:rPr>
              <w:t xml:space="preserve"> over 40% </w:t>
            </w:r>
            <w:r w:rsidR="001D3C1D" w:rsidRPr="000542D7">
              <w:rPr>
                <w:rFonts w:ascii="Arial" w:hAnsi="Arial" w:cs="Arial"/>
              </w:rPr>
              <w:t xml:space="preserve">nationally </w:t>
            </w:r>
            <w:r w:rsidR="005B5641" w:rsidRPr="000542D7">
              <w:rPr>
                <w:rFonts w:ascii="Arial" w:hAnsi="Arial" w:cs="Arial"/>
              </w:rPr>
              <w:t xml:space="preserve">due to reductions in the public health grant. </w:t>
            </w:r>
          </w:p>
        </w:tc>
      </w:tr>
      <w:tr w:rsidR="00BE4089" w:rsidRPr="00D72A7B" w14:paraId="79A8659B" w14:textId="77777777" w:rsidTr="00D20436">
        <w:tc>
          <w:tcPr>
            <w:tcW w:w="1844" w:type="dxa"/>
          </w:tcPr>
          <w:p w14:paraId="144D4C14" w14:textId="178B2DCF" w:rsidR="00BE4089" w:rsidRPr="00D72A7B" w:rsidRDefault="0054131C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There is public support for action on tobacco</w:t>
            </w:r>
          </w:p>
        </w:tc>
        <w:tc>
          <w:tcPr>
            <w:tcW w:w="8085" w:type="dxa"/>
          </w:tcPr>
          <w:p w14:paraId="746C4BE4" w14:textId="7997ECA7" w:rsidR="00BE4089" w:rsidRPr="00C831A2" w:rsidRDefault="00BE4089" w:rsidP="00C83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representative survey for ASH</w:t>
            </w:r>
            <w:r w:rsidR="006508E5">
              <w:rPr>
                <w:rFonts w:ascii="Arial" w:hAnsi="Arial" w:cs="Arial"/>
              </w:rPr>
              <w:t xml:space="preserve"> found that 74% of people support the Smokefree 2030 ambition</w:t>
            </w:r>
            <w:r w:rsidR="00702A82">
              <w:rPr>
                <w:rFonts w:ascii="Arial" w:hAnsi="Arial" w:cs="Arial"/>
              </w:rPr>
              <w:t xml:space="preserve"> </w:t>
            </w:r>
            <w:r w:rsidR="000D6C70">
              <w:rPr>
                <w:rFonts w:ascii="Arial" w:hAnsi="Arial" w:cs="Arial"/>
              </w:rPr>
              <w:t xml:space="preserve">and there was majority support for all key </w:t>
            </w:r>
            <w:r w:rsidR="00E01C19">
              <w:rPr>
                <w:rFonts w:ascii="Arial" w:hAnsi="Arial" w:cs="Arial"/>
              </w:rPr>
              <w:t>tobacco control</w:t>
            </w:r>
            <w:r w:rsidR="000D6C70">
              <w:rPr>
                <w:rFonts w:ascii="Arial" w:hAnsi="Arial" w:cs="Arial"/>
              </w:rPr>
              <w:t xml:space="preserve"> interventions. T</w:t>
            </w:r>
            <w:r w:rsidR="00702A82">
              <w:rPr>
                <w:rFonts w:ascii="Arial" w:hAnsi="Arial" w:cs="Arial"/>
              </w:rPr>
              <w:t xml:space="preserve">here was no significant difference in support when </w:t>
            </w:r>
            <w:r w:rsidR="00236F7F">
              <w:rPr>
                <w:rFonts w:ascii="Arial" w:hAnsi="Arial" w:cs="Arial"/>
              </w:rPr>
              <w:t>it</w:t>
            </w:r>
            <w:r w:rsidR="00C67724">
              <w:rPr>
                <w:rFonts w:ascii="Arial" w:hAnsi="Arial" w:cs="Arial"/>
              </w:rPr>
              <w:t xml:space="preserve"> was</w:t>
            </w:r>
            <w:r w:rsidR="00236F7F">
              <w:rPr>
                <w:rFonts w:ascii="Arial" w:hAnsi="Arial" w:cs="Arial"/>
              </w:rPr>
              <w:t xml:space="preserve"> </w:t>
            </w:r>
            <w:r w:rsidR="00702A82">
              <w:rPr>
                <w:rFonts w:ascii="Arial" w:hAnsi="Arial" w:cs="Arial"/>
              </w:rPr>
              <w:t>broken down by</w:t>
            </w:r>
            <w:r w:rsidR="00E01C19">
              <w:rPr>
                <w:rFonts w:ascii="Arial" w:hAnsi="Arial" w:cs="Arial"/>
              </w:rPr>
              <w:t xml:space="preserve"> party </w:t>
            </w:r>
            <w:r w:rsidR="00702A82">
              <w:rPr>
                <w:rFonts w:ascii="Arial" w:hAnsi="Arial" w:cs="Arial"/>
              </w:rPr>
              <w:t xml:space="preserve">voted for in the 2019 general election. </w:t>
            </w:r>
            <w:r w:rsidR="006E5714">
              <w:rPr>
                <w:rFonts w:ascii="Arial" w:hAnsi="Arial" w:cs="Arial"/>
              </w:rPr>
              <w:t xml:space="preserve"> </w:t>
            </w:r>
          </w:p>
        </w:tc>
      </w:tr>
      <w:tr w:rsidR="00BA6F39" w:rsidRPr="00D72A7B" w14:paraId="05C30F23" w14:textId="77777777" w:rsidTr="00D20436">
        <w:tc>
          <w:tcPr>
            <w:tcW w:w="1844" w:type="dxa"/>
          </w:tcPr>
          <w:p w14:paraId="492E6680" w14:textId="77777777" w:rsidR="00BA6F39" w:rsidRPr="00D72A7B" w:rsidRDefault="00BA6F39" w:rsidP="009C7258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85" w:type="dxa"/>
          </w:tcPr>
          <w:p w14:paraId="141F09AE" w14:textId="339AE4DB" w:rsidR="005C5A12" w:rsidRPr="00D72A7B" w:rsidRDefault="00D72A7B" w:rsidP="009C7258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for </w:t>
            </w:r>
            <w:r w:rsidR="005536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system-wide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working</w:t>
            </w:r>
            <w:r w:rsidR="005C5A12" w:rsidRPr="00D72A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3261" w:rsidRPr="00D72A7B" w14:paraId="55615DD4" w14:textId="77777777" w:rsidTr="00D20436">
        <w:tc>
          <w:tcPr>
            <w:tcW w:w="1844" w:type="dxa"/>
          </w:tcPr>
          <w:p w14:paraId="1520EA2E" w14:textId="3D84B809" w:rsidR="00483261" w:rsidRPr="00D72A7B" w:rsidRDefault="0055365C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System-wide</w:t>
            </w:r>
            <w:r w:rsidR="00B57D90" w:rsidRPr="00D72A7B">
              <w:rPr>
                <w:rFonts w:ascii="Arial" w:hAnsi="Arial" w:cs="Arial"/>
                <w:b/>
                <w:bCs/>
              </w:rPr>
              <w:t xml:space="preserve"> action can speed progress</w:t>
            </w:r>
          </w:p>
        </w:tc>
        <w:tc>
          <w:tcPr>
            <w:tcW w:w="8085" w:type="dxa"/>
          </w:tcPr>
          <w:p w14:paraId="2AC4A7AD" w14:textId="159CCABE" w:rsidR="00483261" w:rsidRPr="00D72A7B" w:rsidRDefault="00AF3498" w:rsidP="006B5EC5">
            <w:pPr>
              <w:rPr>
                <w:rFonts w:ascii="Arial" w:hAnsi="Arial" w:cs="Arial"/>
              </w:rPr>
            </w:pPr>
            <w:r w:rsidRPr="00D72A7B">
              <w:rPr>
                <w:rFonts w:ascii="Arial" w:hAnsi="Arial" w:cs="Arial"/>
              </w:rPr>
              <w:t xml:space="preserve">Areas with existing </w:t>
            </w:r>
            <w:r w:rsidR="0055365C">
              <w:rPr>
                <w:rFonts w:ascii="Arial" w:hAnsi="Arial" w:cs="Arial"/>
              </w:rPr>
              <w:t>system-wide</w:t>
            </w:r>
            <w:r w:rsidR="0055365C" w:rsidRPr="00D72A7B">
              <w:rPr>
                <w:rFonts w:ascii="Arial" w:hAnsi="Arial" w:cs="Arial"/>
              </w:rPr>
              <w:t xml:space="preserve"> </w:t>
            </w:r>
            <w:r w:rsidRPr="00D72A7B">
              <w:rPr>
                <w:rFonts w:ascii="Arial" w:hAnsi="Arial" w:cs="Arial"/>
              </w:rPr>
              <w:t>programmes</w:t>
            </w:r>
            <w:r w:rsidR="00FE2FD2">
              <w:rPr>
                <w:rFonts w:ascii="Arial" w:hAnsi="Arial" w:cs="Arial"/>
              </w:rPr>
              <w:t xml:space="preserve"> have </w:t>
            </w:r>
            <w:r w:rsidRPr="00D72A7B">
              <w:rPr>
                <w:rFonts w:ascii="Arial" w:hAnsi="Arial" w:cs="Arial"/>
              </w:rPr>
              <w:t>seen greater reductions in smoking than areas without.</w:t>
            </w:r>
            <w:r>
              <w:rPr>
                <w:rFonts w:ascii="Arial" w:hAnsi="Arial" w:cs="Arial"/>
              </w:rPr>
              <w:t xml:space="preserve"> </w:t>
            </w:r>
            <w:r w:rsidR="00FE2FD2">
              <w:rPr>
                <w:rFonts w:ascii="Arial" w:hAnsi="Arial" w:cs="Arial"/>
              </w:rPr>
              <w:t>The North-East</w:t>
            </w:r>
            <w:r w:rsidR="001E40DE">
              <w:rPr>
                <w:rFonts w:ascii="Arial" w:hAnsi="Arial" w:cs="Arial"/>
              </w:rPr>
              <w:t>, for example,</w:t>
            </w:r>
            <w:r w:rsidR="00FE2FD2">
              <w:rPr>
                <w:rFonts w:ascii="Arial" w:hAnsi="Arial" w:cs="Arial"/>
              </w:rPr>
              <w:t xml:space="preserve"> has had </w:t>
            </w:r>
            <w:r w:rsidR="0091623F">
              <w:rPr>
                <w:rFonts w:ascii="Arial" w:hAnsi="Arial" w:cs="Arial"/>
              </w:rPr>
              <w:t xml:space="preserve">its </w:t>
            </w:r>
            <w:r w:rsidR="00FE2FD2">
              <w:rPr>
                <w:rFonts w:ascii="Arial" w:hAnsi="Arial" w:cs="Arial"/>
              </w:rPr>
              <w:t xml:space="preserve">regional-level </w:t>
            </w:r>
            <w:r w:rsidR="0091623F">
              <w:rPr>
                <w:rFonts w:ascii="Arial" w:hAnsi="Arial" w:cs="Arial"/>
              </w:rPr>
              <w:t xml:space="preserve">programme, </w:t>
            </w:r>
            <w:r w:rsidR="001E40DE">
              <w:rPr>
                <w:rFonts w:ascii="Arial" w:hAnsi="Arial" w:cs="Arial"/>
              </w:rPr>
              <w:t>Fresh</w:t>
            </w:r>
            <w:r w:rsidR="00E01C19">
              <w:rPr>
                <w:rFonts w:ascii="Arial" w:hAnsi="Arial" w:cs="Arial"/>
              </w:rPr>
              <w:t>,</w:t>
            </w:r>
            <w:r w:rsidR="001E40DE">
              <w:rPr>
                <w:rFonts w:ascii="Arial" w:hAnsi="Arial" w:cs="Arial"/>
              </w:rPr>
              <w:t xml:space="preserve"> </w:t>
            </w:r>
            <w:r w:rsidR="00FE2FD2">
              <w:rPr>
                <w:rFonts w:ascii="Arial" w:hAnsi="Arial" w:cs="Arial"/>
              </w:rPr>
              <w:t>since 2005</w:t>
            </w:r>
            <w:r w:rsidR="001E40DE">
              <w:rPr>
                <w:rFonts w:ascii="Arial" w:hAnsi="Arial" w:cs="Arial"/>
              </w:rPr>
              <w:t xml:space="preserve">. </w:t>
            </w:r>
            <w:r w:rsidR="00D67E46" w:rsidRPr="00B06264">
              <w:rPr>
                <w:rFonts w:ascii="Arial" w:hAnsi="Arial" w:cs="Arial"/>
              </w:rPr>
              <w:t xml:space="preserve">They have had </w:t>
            </w:r>
            <w:r w:rsidR="00F30A69">
              <w:rPr>
                <w:rFonts w:ascii="Arial" w:hAnsi="Arial" w:cs="Arial"/>
              </w:rPr>
              <w:t>the largest reduction</w:t>
            </w:r>
            <w:r w:rsidR="00D67E46" w:rsidRPr="00B06264">
              <w:rPr>
                <w:rFonts w:ascii="Arial" w:hAnsi="Arial" w:cs="Arial"/>
              </w:rPr>
              <w:t xml:space="preserve"> in smoking prevalence in the country</w:t>
            </w:r>
            <w:r w:rsidR="00F30A69">
              <w:rPr>
                <w:rFonts w:ascii="Arial" w:hAnsi="Arial" w:cs="Arial"/>
              </w:rPr>
              <w:t>, with</w:t>
            </w:r>
            <w:r w:rsidR="00C32ED3">
              <w:rPr>
                <w:rFonts w:ascii="Arial" w:hAnsi="Arial" w:cs="Arial"/>
              </w:rPr>
              <w:t xml:space="preserve"> adult</w:t>
            </w:r>
            <w:r w:rsidR="00F30A69">
              <w:rPr>
                <w:rFonts w:ascii="Arial" w:hAnsi="Arial" w:cs="Arial"/>
              </w:rPr>
              <w:t xml:space="preserve"> rates r</w:t>
            </w:r>
            <w:r w:rsidR="00B234E5">
              <w:rPr>
                <w:rFonts w:ascii="Arial" w:hAnsi="Arial" w:cs="Arial"/>
              </w:rPr>
              <w:t>educ</w:t>
            </w:r>
            <w:r w:rsidR="00F30A69">
              <w:rPr>
                <w:rFonts w:ascii="Arial" w:hAnsi="Arial" w:cs="Arial"/>
              </w:rPr>
              <w:t xml:space="preserve">ing from </w:t>
            </w:r>
            <w:r w:rsidR="00B234E5">
              <w:rPr>
                <w:rFonts w:ascii="Arial" w:hAnsi="Arial" w:cs="Arial"/>
              </w:rPr>
              <w:t xml:space="preserve">29% in 2005 to </w:t>
            </w:r>
            <w:r w:rsidR="00B945C7">
              <w:rPr>
                <w:rFonts w:ascii="Arial" w:hAnsi="Arial" w:cs="Arial"/>
              </w:rPr>
              <w:t>15.3</w:t>
            </w:r>
            <w:r w:rsidR="00C32ED3">
              <w:rPr>
                <w:rFonts w:ascii="Arial" w:hAnsi="Arial" w:cs="Arial"/>
              </w:rPr>
              <w:t>% in 20</w:t>
            </w:r>
            <w:r w:rsidR="00B945C7">
              <w:rPr>
                <w:rFonts w:ascii="Arial" w:hAnsi="Arial" w:cs="Arial"/>
              </w:rPr>
              <w:t>19</w:t>
            </w:r>
            <w:r w:rsidR="00B234E5">
              <w:rPr>
                <w:rFonts w:ascii="Arial" w:hAnsi="Arial" w:cs="Arial"/>
              </w:rPr>
              <w:t>.</w:t>
            </w:r>
          </w:p>
        </w:tc>
      </w:tr>
      <w:tr w:rsidR="00E12DB8" w:rsidRPr="00D72A7B" w14:paraId="07D3FA53" w14:textId="77777777" w:rsidTr="00D20436">
        <w:tc>
          <w:tcPr>
            <w:tcW w:w="1844" w:type="dxa"/>
          </w:tcPr>
          <w:p w14:paraId="26EC2840" w14:textId="1D593184" w:rsidR="00E12DB8" w:rsidRDefault="0055365C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System-wide </w:t>
            </w:r>
            <w:r w:rsidR="00C06FD5">
              <w:rPr>
                <w:rFonts w:ascii="Arial" w:hAnsi="Arial" w:cs="Arial"/>
                <w:b/>
                <w:bCs/>
              </w:rPr>
              <w:t xml:space="preserve">collaboration provides </w:t>
            </w:r>
            <w:r w:rsidR="002462BC">
              <w:rPr>
                <w:rFonts w:ascii="Arial" w:hAnsi="Arial" w:cs="Arial"/>
                <w:b/>
                <w:bCs/>
              </w:rPr>
              <w:t xml:space="preserve">an </w:t>
            </w:r>
            <w:r w:rsidR="00C06FD5">
              <w:rPr>
                <w:rFonts w:ascii="Arial" w:hAnsi="Arial" w:cs="Arial"/>
                <w:b/>
                <w:bCs/>
              </w:rPr>
              <w:t>opportunit</w:t>
            </w:r>
            <w:r w:rsidR="002462BC">
              <w:rPr>
                <w:rFonts w:ascii="Arial" w:hAnsi="Arial" w:cs="Arial"/>
                <w:b/>
                <w:bCs/>
              </w:rPr>
              <w:t>y to take</w:t>
            </w:r>
            <w:r w:rsidR="00364196">
              <w:rPr>
                <w:rFonts w:ascii="Arial" w:hAnsi="Arial" w:cs="Arial"/>
                <w:b/>
                <w:bCs/>
              </w:rPr>
              <w:t xml:space="preserve"> broader action</w:t>
            </w:r>
          </w:p>
        </w:tc>
        <w:tc>
          <w:tcPr>
            <w:tcW w:w="8085" w:type="dxa"/>
          </w:tcPr>
          <w:p w14:paraId="2293CC96" w14:textId="01CD5F36" w:rsidR="00364196" w:rsidRDefault="00E12DB8" w:rsidP="006B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effective </w:t>
            </w:r>
            <w:r w:rsidR="0055365C">
              <w:rPr>
                <w:rFonts w:ascii="Arial" w:hAnsi="Arial" w:cs="Arial"/>
              </w:rPr>
              <w:t xml:space="preserve">system-wide </w:t>
            </w:r>
            <w:r>
              <w:rPr>
                <w:rFonts w:ascii="Arial" w:hAnsi="Arial" w:cs="Arial"/>
              </w:rPr>
              <w:t xml:space="preserve">programme could: </w:t>
            </w:r>
          </w:p>
          <w:p w14:paraId="3A2A6D4D" w14:textId="1A5C508B" w:rsidR="00364196" w:rsidRDefault="00364196" w:rsidP="003641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12DB8" w:rsidRPr="00364196">
              <w:rPr>
                <w:rFonts w:ascii="Arial" w:hAnsi="Arial" w:cs="Arial"/>
              </w:rPr>
              <w:t xml:space="preserve">chieve economies of scale through investment in activity </w:t>
            </w:r>
            <w:r w:rsidR="002462BC">
              <w:rPr>
                <w:rFonts w:ascii="Arial" w:hAnsi="Arial" w:cs="Arial"/>
              </w:rPr>
              <w:t xml:space="preserve">which is </w:t>
            </w:r>
            <w:r w:rsidR="00E12DB8" w:rsidRPr="00364196">
              <w:rPr>
                <w:rFonts w:ascii="Arial" w:hAnsi="Arial" w:cs="Arial"/>
              </w:rPr>
              <w:t xml:space="preserve">less effective or not possible at a local </w:t>
            </w:r>
            <w:r w:rsidR="00B234E5" w:rsidRPr="00364196">
              <w:rPr>
                <w:rFonts w:ascii="Arial" w:hAnsi="Arial" w:cs="Arial"/>
              </w:rPr>
              <w:t>level</w:t>
            </w:r>
            <w:r w:rsidR="00B234E5">
              <w:rPr>
                <w:rFonts w:ascii="Arial" w:hAnsi="Arial" w:cs="Arial"/>
              </w:rPr>
              <w:t>,</w:t>
            </w:r>
          </w:p>
          <w:p w14:paraId="01302E2B" w14:textId="7E47AB56" w:rsidR="00364196" w:rsidRDefault="00364196" w:rsidP="003641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12DB8" w:rsidRPr="00364196">
              <w:rPr>
                <w:rFonts w:ascii="Arial" w:hAnsi="Arial" w:cs="Arial"/>
              </w:rPr>
              <w:t xml:space="preserve">dd to local action to grow the level of impact across the </w:t>
            </w:r>
            <w:r w:rsidR="00B234E5" w:rsidRPr="00364196">
              <w:rPr>
                <w:rFonts w:ascii="Arial" w:hAnsi="Arial" w:cs="Arial"/>
              </w:rPr>
              <w:t>system</w:t>
            </w:r>
            <w:r w:rsidR="00B234E5">
              <w:rPr>
                <w:rFonts w:ascii="Arial" w:hAnsi="Arial" w:cs="Arial"/>
              </w:rPr>
              <w:t>,</w:t>
            </w:r>
          </w:p>
          <w:p w14:paraId="0D12759F" w14:textId="6D9C59AD" w:rsidR="00364196" w:rsidRDefault="00364196" w:rsidP="003641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12DB8" w:rsidRPr="00364196">
              <w:rPr>
                <w:rFonts w:ascii="Arial" w:hAnsi="Arial" w:cs="Arial"/>
              </w:rPr>
              <w:t>oncentrate expertise to provide a hub o</w:t>
            </w:r>
            <w:r w:rsidR="00B234E5">
              <w:rPr>
                <w:rFonts w:ascii="Arial" w:hAnsi="Arial" w:cs="Arial"/>
              </w:rPr>
              <w:t>f</w:t>
            </w:r>
            <w:r w:rsidR="00E12DB8" w:rsidRPr="00364196">
              <w:rPr>
                <w:rFonts w:ascii="Arial" w:hAnsi="Arial" w:cs="Arial"/>
              </w:rPr>
              <w:t xml:space="preserve"> support to local policy </w:t>
            </w:r>
            <w:r w:rsidR="00B234E5">
              <w:rPr>
                <w:rFonts w:ascii="Arial" w:hAnsi="Arial" w:cs="Arial"/>
              </w:rPr>
              <w:t>development,</w:t>
            </w:r>
          </w:p>
          <w:p w14:paraId="4CD0F857" w14:textId="057178C8" w:rsidR="00E12DB8" w:rsidRPr="00364196" w:rsidRDefault="00364196" w:rsidP="003641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12DB8" w:rsidRPr="00364196">
              <w:rPr>
                <w:rFonts w:ascii="Arial" w:hAnsi="Arial" w:cs="Arial"/>
              </w:rPr>
              <w:t xml:space="preserve">ake a targeted approach to reducing health inequalities.    </w:t>
            </w:r>
          </w:p>
        </w:tc>
      </w:tr>
      <w:tr w:rsidR="00BA6F39" w:rsidRPr="00D72A7B" w14:paraId="13830CA4" w14:textId="77777777" w:rsidTr="000542D7">
        <w:tc>
          <w:tcPr>
            <w:tcW w:w="1844" w:type="dxa"/>
            <w:tcBorders>
              <w:bottom w:val="dotted" w:sz="4" w:space="0" w:color="auto"/>
            </w:tcBorders>
          </w:tcPr>
          <w:p w14:paraId="27286AAA" w14:textId="63805703" w:rsidR="00BA6F39" w:rsidRPr="00D72A7B" w:rsidRDefault="00B234E5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7248F0">
              <w:rPr>
                <w:rFonts w:ascii="Arial" w:hAnsi="Arial" w:cs="Arial"/>
                <w:b/>
                <w:bCs/>
              </w:rPr>
              <w:t>here ar</w:t>
            </w:r>
            <w:r w:rsidR="002462BC">
              <w:rPr>
                <w:rFonts w:ascii="Arial" w:hAnsi="Arial" w:cs="Arial"/>
                <w:b/>
                <w:bCs/>
              </w:rPr>
              <w:t>e</w:t>
            </w:r>
            <w:r w:rsidR="007248F0">
              <w:rPr>
                <w:rFonts w:ascii="Arial" w:hAnsi="Arial" w:cs="Arial"/>
                <w:b/>
                <w:bCs/>
              </w:rPr>
              <w:t xml:space="preserve"> key areas </w:t>
            </w:r>
            <w:r w:rsidR="002462BC">
              <w:rPr>
                <w:rFonts w:ascii="Arial" w:hAnsi="Arial" w:cs="Arial"/>
                <w:b/>
                <w:bCs/>
              </w:rPr>
              <w:t xml:space="preserve">that benefit from </w:t>
            </w:r>
            <w:r w:rsidR="0055365C">
              <w:rPr>
                <w:rFonts w:ascii="Arial" w:hAnsi="Arial" w:cs="Arial"/>
                <w:b/>
                <w:bCs/>
              </w:rPr>
              <w:t>system-wi</w:t>
            </w:r>
            <w:r w:rsidR="00B67FD9">
              <w:rPr>
                <w:rFonts w:ascii="Arial" w:hAnsi="Arial" w:cs="Arial"/>
                <w:b/>
                <w:bCs/>
              </w:rPr>
              <w:t>d</w:t>
            </w:r>
            <w:r w:rsidR="0055365C">
              <w:rPr>
                <w:rFonts w:ascii="Arial" w:hAnsi="Arial" w:cs="Arial"/>
                <w:b/>
                <w:bCs/>
              </w:rPr>
              <w:t xml:space="preserve">e </w:t>
            </w:r>
            <w:r w:rsidR="000433F5">
              <w:rPr>
                <w:rFonts w:ascii="Arial" w:hAnsi="Arial" w:cs="Arial"/>
                <w:b/>
                <w:bCs/>
              </w:rPr>
              <w:t>collaboration</w:t>
            </w:r>
          </w:p>
        </w:tc>
        <w:tc>
          <w:tcPr>
            <w:tcW w:w="8085" w:type="dxa"/>
            <w:tcBorders>
              <w:bottom w:val="dotted" w:sz="4" w:space="0" w:color="auto"/>
            </w:tcBorders>
          </w:tcPr>
          <w:p w14:paraId="762A3ADE" w14:textId="77777777" w:rsidR="00144B73" w:rsidRDefault="00921942" w:rsidP="006B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ASH report identified </w:t>
            </w:r>
            <w:r w:rsidR="00F741EA">
              <w:rPr>
                <w:rFonts w:ascii="Arial" w:hAnsi="Arial" w:cs="Arial"/>
              </w:rPr>
              <w:t xml:space="preserve">several </w:t>
            </w:r>
            <w:r w:rsidR="0091623F">
              <w:rPr>
                <w:rFonts w:ascii="Arial" w:hAnsi="Arial" w:cs="Arial"/>
              </w:rPr>
              <w:t xml:space="preserve">tobacco control </w:t>
            </w:r>
            <w:r w:rsidR="00F741EA">
              <w:rPr>
                <w:rFonts w:ascii="Arial" w:hAnsi="Arial" w:cs="Arial"/>
              </w:rPr>
              <w:t>a</w:t>
            </w:r>
            <w:r w:rsidR="00A0719A">
              <w:rPr>
                <w:rFonts w:ascii="Arial" w:hAnsi="Arial" w:cs="Arial"/>
              </w:rPr>
              <w:t>ctivities that were believed to be best delivered over wider geographies, including</w:t>
            </w:r>
            <w:r w:rsidR="00144B73">
              <w:rPr>
                <w:rFonts w:ascii="Arial" w:hAnsi="Arial" w:cs="Arial"/>
              </w:rPr>
              <w:t>:</w:t>
            </w:r>
          </w:p>
          <w:p w14:paraId="52BF1CD6" w14:textId="222934CA" w:rsidR="00144B73" w:rsidRDefault="00144B73" w:rsidP="00144B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0719A" w:rsidRPr="00144B73">
              <w:rPr>
                <w:rFonts w:ascii="Arial" w:hAnsi="Arial" w:cs="Arial"/>
              </w:rPr>
              <w:t>ass media and communications</w:t>
            </w:r>
            <w:r w:rsidR="00B234E5">
              <w:rPr>
                <w:rFonts w:ascii="Arial" w:hAnsi="Arial" w:cs="Arial"/>
              </w:rPr>
              <w:t>,</w:t>
            </w:r>
          </w:p>
          <w:p w14:paraId="3404AAEA" w14:textId="77777777" w:rsidR="00144B73" w:rsidRDefault="00144B73" w:rsidP="00144B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0719A" w:rsidRPr="00144B73">
              <w:rPr>
                <w:rFonts w:ascii="Arial" w:hAnsi="Arial" w:cs="Arial"/>
              </w:rPr>
              <w:t>ction on illicit tobacco,</w:t>
            </w:r>
          </w:p>
          <w:p w14:paraId="7D45B36E" w14:textId="21DAF570" w:rsidR="00144B73" w:rsidRDefault="00144B73" w:rsidP="00144B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0719A" w:rsidRPr="00144B73">
              <w:rPr>
                <w:rFonts w:ascii="Arial" w:hAnsi="Arial" w:cs="Arial"/>
              </w:rPr>
              <w:t>olicy and intervention development</w:t>
            </w:r>
            <w:r w:rsidR="00B234E5">
              <w:rPr>
                <w:rFonts w:ascii="Arial" w:hAnsi="Arial" w:cs="Arial"/>
              </w:rPr>
              <w:t>,</w:t>
            </w:r>
          </w:p>
          <w:p w14:paraId="236827AF" w14:textId="68068B2C" w:rsidR="00144B73" w:rsidRDefault="00144B73" w:rsidP="00144B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0719A" w:rsidRPr="00144B73">
              <w:rPr>
                <w:rFonts w:ascii="Arial" w:hAnsi="Arial" w:cs="Arial"/>
              </w:rPr>
              <w:t>upporting local implementation</w:t>
            </w:r>
            <w:r w:rsidR="00B234E5">
              <w:rPr>
                <w:rFonts w:ascii="Arial" w:hAnsi="Arial" w:cs="Arial"/>
              </w:rPr>
              <w:t>,</w:t>
            </w:r>
            <w:r w:rsidR="00A0719A" w:rsidRPr="00144B73">
              <w:rPr>
                <w:rFonts w:ascii="Arial" w:hAnsi="Arial" w:cs="Arial"/>
              </w:rPr>
              <w:t xml:space="preserve"> </w:t>
            </w:r>
          </w:p>
          <w:p w14:paraId="4D2B5C5C" w14:textId="1A6DB8A4" w:rsidR="00BA6F39" w:rsidRPr="002E3D8C" w:rsidRDefault="00144B73" w:rsidP="002E3D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the case for</w:t>
            </w:r>
            <w:r w:rsidR="00C94457" w:rsidRPr="00144B73">
              <w:rPr>
                <w:rFonts w:ascii="Arial" w:hAnsi="Arial" w:cs="Arial"/>
              </w:rPr>
              <w:t xml:space="preserve"> for tobacco control. </w:t>
            </w:r>
          </w:p>
        </w:tc>
      </w:tr>
      <w:tr w:rsidR="000433F5" w:rsidRPr="00D72A7B" w14:paraId="5A417C4E" w14:textId="77777777" w:rsidTr="000542D7"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</w:tcPr>
          <w:p w14:paraId="6C8D69F6" w14:textId="00B3B9F8" w:rsidR="000433F5" w:rsidRDefault="000433F5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 success is dependent on</w:t>
            </w:r>
            <w:r w:rsidR="00B67133">
              <w:rPr>
                <w:rFonts w:ascii="Arial" w:hAnsi="Arial" w:cs="Arial"/>
                <w:b/>
                <w:bCs/>
              </w:rPr>
              <w:t xml:space="preserve"> several factors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085" w:type="dxa"/>
            <w:tcBorders>
              <w:top w:val="dotted" w:sz="4" w:space="0" w:color="auto"/>
              <w:bottom w:val="dotted" w:sz="4" w:space="0" w:color="auto"/>
            </w:tcBorders>
          </w:tcPr>
          <w:p w14:paraId="7AD98333" w14:textId="13ACB6A1" w:rsidR="000433F5" w:rsidRDefault="00B234E5" w:rsidP="00043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 also found that p</w:t>
            </w:r>
            <w:r w:rsidR="000433F5" w:rsidRPr="00144B73">
              <w:rPr>
                <w:rFonts w:ascii="Arial" w:hAnsi="Arial" w:cs="Arial"/>
              </w:rPr>
              <w:t>rogramme success is dependent on</w:t>
            </w:r>
            <w:r>
              <w:rPr>
                <w:rFonts w:ascii="Arial" w:hAnsi="Arial" w:cs="Arial"/>
              </w:rPr>
              <w:t>:</w:t>
            </w:r>
          </w:p>
          <w:p w14:paraId="058B3B52" w14:textId="63E70777" w:rsidR="000433F5" w:rsidRDefault="000433F5" w:rsidP="000433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4B73">
              <w:rPr>
                <w:rFonts w:ascii="Arial" w:hAnsi="Arial" w:cs="Arial"/>
              </w:rPr>
              <w:t>Expertise</w:t>
            </w:r>
            <w:r w:rsidR="00B67133">
              <w:rPr>
                <w:rFonts w:ascii="Arial" w:hAnsi="Arial" w:cs="Arial"/>
              </w:rPr>
              <w:t xml:space="preserve"> on tobacco control</w:t>
            </w:r>
            <w:r w:rsidR="00B234E5">
              <w:rPr>
                <w:rFonts w:ascii="Arial" w:hAnsi="Arial" w:cs="Arial"/>
              </w:rPr>
              <w:t>,</w:t>
            </w:r>
          </w:p>
          <w:p w14:paraId="496F606D" w14:textId="31165D49" w:rsidR="000433F5" w:rsidRDefault="000433F5" w:rsidP="000433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144B73">
              <w:rPr>
                <w:rFonts w:ascii="Arial" w:hAnsi="Arial" w:cs="Arial"/>
              </w:rPr>
              <w:t>he ability and mandate to lead</w:t>
            </w:r>
            <w:r w:rsidR="00B234E5">
              <w:rPr>
                <w:rFonts w:ascii="Arial" w:hAnsi="Arial" w:cs="Arial"/>
              </w:rPr>
              <w:t>,</w:t>
            </w:r>
          </w:p>
          <w:p w14:paraId="7BF5B723" w14:textId="4205996E" w:rsidR="000433F5" w:rsidRDefault="000433F5" w:rsidP="000433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44B73">
              <w:rPr>
                <w:rFonts w:ascii="Arial" w:hAnsi="Arial" w:cs="Arial"/>
              </w:rPr>
              <w:t>ffective relationships across the system</w:t>
            </w:r>
            <w:r w:rsidR="00B234E5">
              <w:rPr>
                <w:rFonts w:ascii="Arial" w:hAnsi="Arial" w:cs="Arial"/>
              </w:rPr>
              <w:t>,</w:t>
            </w:r>
          </w:p>
          <w:p w14:paraId="0826F995" w14:textId="759F5110" w:rsidR="000433F5" w:rsidRPr="000433F5" w:rsidRDefault="000433F5" w:rsidP="000433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433F5">
              <w:rPr>
                <w:rFonts w:ascii="Arial" w:hAnsi="Arial" w:cs="Arial"/>
              </w:rPr>
              <w:t>Having a distinct programme of work.</w:t>
            </w:r>
          </w:p>
        </w:tc>
      </w:tr>
    </w:tbl>
    <w:p w14:paraId="633CE2D1" w14:textId="0EE59E58" w:rsidR="00BA6F39" w:rsidRPr="00D72A7B" w:rsidRDefault="00BA6F39" w:rsidP="00BA6F39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5C5A12" w:rsidRPr="00D72A7B" w14:paraId="548B8DEA" w14:textId="77777777" w:rsidTr="00DB63CD">
        <w:trPr>
          <w:trHeight w:val="105"/>
        </w:trPr>
        <w:tc>
          <w:tcPr>
            <w:tcW w:w="1696" w:type="dxa"/>
            <w:tcBorders>
              <w:top w:val="nil"/>
            </w:tcBorders>
          </w:tcPr>
          <w:p w14:paraId="63BF3341" w14:textId="77777777" w:rsidR="005C5A12" w:rsidRPr="00750854" w:rsidRDefault="005C5A12" w:rsidP="009C7258">
            <w:pPr>
              <w:spacing w:before="2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7320" w:type="dxa"/>
            <w:tcBorders>
              <w:top w:val="nil"/>
            </w:tcBorders>
          </w:tcPr>
          <w:p w14:paraId="4861ED0B" w14:textId="77777777" w:rsidR="002E3D8C" w:rsidRPr="00750854" w:rsidRDefault="002E3D8C" w:rsidP="009C7258">
            <w:pPr>
              <w:spacing w:before="240"/>
              <w:jc w:val="both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391E2559" w14:textId="22C706F0" w:rsidR="005C5A12" w:rsidRPr="00D72A7B" w:rsidRDefault="005C5A12" w:rsidP="009C7258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D72A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Next steps</w:t>
            </w:r>
          </w:p>
        </w:tc>
      </w:tr>
      <w:tr w:rsidR="005C5A12" w:rsidRPr="00D72A7B" w14:paraId="363B4FC9" w14:textId="77777777" w:rsidTr="00E21654">
        <w:trPr>
          <w:trHeight w:val="109"/>
        </w:trPr>
        <w:tc>
          <w:tcPr>
            <w:tcW w:w="1696" w:type="dxa"/>
          </w:tcPr>
          <w:p w14:paraId="08D027E6" w14:textId="326FB8F4" w:rsidR="005C5A12" w:rsidRPr="00D72A7B" w:rsidRDefault="00267712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Deciding on a geography </w:t>
            </w:r>
            <w:r w:rsidR="00E517EF" w:rsidRPr="00D72A7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20" w:type="dxa"/>
          </w:tcPr>
          <w:p w14:paraId="083361CB" w14:textId="37625DAA" w:rsidR="005C5A12" w:rsidRPr="00D72A7B" w:rsidRDefault="003B19A4" w:rsidP="00E21654">
            <w:pPr>
              <w:rPr>
                <w:rFonts w:ascii="Arial" w:hAnsi="Arial" w:cs="Arial"/>
              </w:rPr>
            </w:pPr>
            <w:r w:rsidRPr="00D72A7B">
              <w:rPr>
                <w:rFonts w:ascii="Arial" w:hAnsi="Arial" w:cs="Arial"/>
              </w:rPr>
              <w:t xml:space="preserve">The introduction of Integrated Care Systems (ICSs) and Integrated Care Boards (ICBs) provides an opportunity for regional </w:t>
            </w:r>
            <w:r>
              <w:rPr>
                <w:rFonts w:ascii="Arial" w:hAnsi="Arial" w:cs="Arial"/>
              </w:rPr>
              <w:t>collaboration</w:t>
            </w:r>
            <w:r w:rsidRPr="00D72A7B">
              <w:rPr>
                <w:rFonts w:ascii="Arial" w:hAnsi="Arial" w:cs="Arial"/>
              </w:rPr>
              <w:t xml:space="preserve"> on tobacco contro</w:t>
            </w:r>
            <w:r>
              <w:rPr>
                <w:rFonts w:ascii="Arial" w:hAnsi="Arial" w:cs="Arial"/>
              </w:rPr>
              <w:t>l at that level</w:t>
            </w:r>
            <w:r w:rsidR="002E3D8C">
              <w:rPr>
                <w:rFonts w:ascii="Arial" w:hAnsi="Arial" w:cs="Arial"/>
              </w:rPr>
              <w:t>. H</w:t>
            </w:r>
            <w:r>
              <w:rPr>
                <w:rFonts w:ascii="Arial" w:hAnsi="Arial" w:cs="Arial"/>
              </w:rPr>
              <w:t>owever</w:t>
            </w:r>
            <w:r w:rsidR="00B234E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collaboration over wider geographies (</w:t>
            </w:r>
            <w:r w:rsidR="00B234E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align with media boundaries) should also be considered. </w:t>
            </w:r>
          </w:p>
        </w:tc>
      </w:tr>
      <w:tr w:rsidR="00B67133" w:rsidRPr="00D72A7B" w14:paraId="2945FCDB" w14:textId="77777777" w:rsidTr="00E21654">
        <w:trPr>
          <w:trHeight w:val="109"/>
        </w:trPr>
        <w:tc>
          <w:tcPr>
            <w:tcW w:w="1696" w:type="dxa"/>
          </w:tcPr>
          <w:p w14:paraId="1FFB9472" w14:textId="489B84CC" w:rsidR="00B67133" w:rsidRDefault="00B67133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Finding the right resources</w:t>
            </w:r>
          </w:p>
        </w:tc>
        <w:tc>
          <w:tcPr>
            <w:tcW w:w="7320" w:type="dxa"/>
          </w:tcPr>
          <w:p w14:paraId="117AA62E" w14:textId="2A845D63" w:rsidR="00B67133" w:rsidRDefault="00B67133" w:rsidP="00E21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723A1E">
              <w:rPr>
                <w:rFonts w:ascii="Arial" w:hAnsi="Arial" w:cs="Arial"/>
              </w:rPr>
              <w:t>collection</w:t>
            </w:r>
            <w:r>
              <w:rPr>
                <w:rFonts w:ascii="Arial" w:hAnsi="Arial" w:cs="Arial"/>
              </w:rPr>
              <w:t xml:space="preserve"> of resources </w:t>
            </w:r>
            <w:r w:rsidR="00723A1E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available from ASH to support areas contemplating implementing regional-level tobacco control. These are primarily </w:t>
            </w:r>
            <w:r w:rsidR="008C63DF">
              <w:rPr>
                <w:rFonts w:ascii="Arial" w:hAnsi="Arial" w:cs="Arial"/>
              </w:rPr>
              <w:t xml:space="preserve">designed to </w:t>
            </w:r>
            <w:r>
              <w:rPr>
                <w:rFonts w:ascii="Arial" w:hAnsi="Arial" w:cs="Arial"/>
              </w:rPr>
              <w:t>support ICS-level action but can be adapted to a</w:t>
            </w:r>
            <w:r w:rsidR="001C6B4B">
              <w:rPr>
                <w:rFonts w:ascii="Arial" w:hAnsi="Arial" w:cs="Arial"/>
              </w:rPr>
              <w:t>lternative footprints.</w:t>
            </w:r>
          </w:p>
        </w:tc>
      </w:tr>
      <w:tr w:rsidR="00267712" w:rsidRPr="00D72A7B" w14:paraId="73712D31" w14:textId="77777777" w:rsidTr="00E21654">
        <w:trPr>
          <w:trHeight w:val="109"/>
        </w:trPr>
        <w:tc>
          <w:tcPr>
            <w:tcW w:w="1696" w:type="dxa"/>
          </w:tcPr>
          <w:p w14:paraId="1E52AB62" w14:textId="4B6174CE" w:rsidR="00267712" w:rsidRDefault="00B57D90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Selecting </w:t>
            </w:r>
            <w:r w:rsidR="00267712">
              <w:rPr>
                <w:rFonts w:ascii="Arial" w:hAnsi="Arial" w:cs="Arial"/>
                <w:b/>
                <w:bCs/>
              </w:rPr>
              <w:t xml:space="preserve">a core team to drive </w:t>
            </w:r>
            <w:r w:rsidR="00B234E5">
              <w:rPr>
                <w:rFonts w:ascii="Arial" w:hAnsi="Arial" w:cs="Arial"/>
                <w:b/>
                <w:bCs/>
              </w:rPr>
              <w:t xml:space="preserve">it </w:t>
            </w:r>
            <w:r w:rsidR="00267712">
              <w:rPr>
                <w:rFonts w:ascii="Arial" w:hAnsi="Arial" w:cs="Arial"/>
                <w:b/>
                <w:bCs/>
              </w:rPr>
              <w:t>forward</w:t>
            </w:r>
          </w:p>
        </w:tc>
        <w:tc>
          <w:tcPr>
            <w:tcW w:w="7320" w:type="dxa"/>
          </w:tcPr>
          <w:p w14:paraId="6485934F" w14:textId="7820647A" w:rsidR="00267712" w:rsidRDefault="00D06F78" w:rsidP="00E21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of Public Health will be</w:t>
            </w:r>
            <w:r w:rsidR="0041523C">
              <w:rPr>
                <w:rFonts w:ascii="Arial" w:hAnsi="Arial" w:cs="Arial"/>
              </w:rPr>
              <w:t xml:space="preserve"> crucial in leading and championing </w:t>
            </w:r>
            <w:r w:rsidR="00F92BE8">
              <w:rPr>
                <w:rFonts w:ascii="Arial" w:hAnsi="Arial" w:cs="Arial"/>
              </w:rPr>
              <w:t xml:space="preserve">the </w:t>
            </w:r>
            <w:proofErr w:type="spellStart"/>
            <w:r w:rsidR="00F92BE8">
              <w:rPr>
                <w:rFonts w:ascii="Arial" w:hAnsi="Arial" w:cs="Arial"/>
              </w:rPr>
              <w:t>set up</w:t>
            </w:r>
            <w:proofErr w:type="spellEnd"/>
            <w:r w:rsidR="00F92BE8">
              <w:rPr>
                <w:rFonts w:ascii="Arial" w:hAnsi="Arial" w:cs="Arial"/>
              </w:rPr>
              <w:t xml:space="preserve"> of </w:t>
            </w:r>
            <w:r w:rsidR="0041523C">
              <w:rPr>
                <w:rFonts w:ascii="Arial" w:hAnsi="Arial" w:cs="Arial"/>
              </w:rPr>
              <w:t>a systemwide programme of comprehensive tobacco control.</w:t>
            </w:r>
            <w:r w:rsidR="008411A6">
              <w:rPr>
                <w:rFonts w:ascii="Arial" w:hAnsi="Arial" w:cs="Arial"/>
              </w:rPr>
              <w:t xml:space="preserve"> </w:t>
            </w:r>
            <w:r w:rsidR="000E43B8">
              <w:rPr>
                <w:rFonts w:ascii="Arial" w:hAnsi="Arial" w:cs="Arial"/>
              </w:rPr>
              <w:t xml:space="preserve">Alongside </w:t>
            </w:r>
            <w:r w:rsidR="00112E4F">
              <w:rPr>
                <w:rFonts w:ascii="Arial" w:hAnsi="Arial" w:cs="Arial"/>
              </w:rPr>
              <w:t>Directors of Public Health</w:t>
            </w:r>
            <w:r w:rsidR="000E43B8">
              <w:rPr>
                <w:rFonts w:ascii="Arial" w:hAnsi="Arial" w:cs="Arial"/>
              </w:rPr>
              <w:t xml:space="preserve">, </w:t>
            </w:r>
            <w:r w:rsidR="008411A6">
              <w:rPr>
                <w:rFonts w:ascii="Arial" w:hAnsi="Arial" w:cs="Arial"/>
              </w:rPr>
              <w:t>a</w:t>
            </w:r>
            <w:r w:rsidR="00A51BD9">
              <w:rPr>
                <w:rFonts w:ascii="Arial" w:hAnsi="Arial" w:cs="Arial"/>
              </w:rPr>
              <w:t xml:space="preserve">n enthusiastic </w:t>
            </w:r>
            <w:r w:rsidR="00B234E5">
              <w:rPr>
                <w:rFonts w:ascii="Arial" w:hAnsi="Arial" w:cs="Arial"/>
              </w:rPr>
              <w:t>individual</w:t>
            </w:r>
            <w:r w:rsidR="00A51BD9">
              <w:rPr>
                <w:rFonts w:ascii="Arial" w:hAnsi="Arial" w:cs="Arial"/>
              </w:rPr>
              <w:t xml:space="preserve"> or team will be needed to</w:t>
            </w:r>
            <w:r w:rsidR="00B234E5">
              <w:rPr>
                <w:rFonts w:ascii="Arial" w:hAnsi="Arial" w:cs="Arial"/>
              </w:rPr>
              <w:t xml:space="preserve"> </w:t>
            </w:r>
            <w:r w:rsidR="000E43B8">
              <w:rPr>
                <w:rFonts w:ascii="Arial" w:hAnsi="Arial" w:cs="Arial"/>
              </w:rPr>
              <w:t xml:space="preserve">drive progress forward, </w:t>
            </w:r>
            <w:r w:rsidR="00A51BD9">
              <w:rPr>
                <w:rFonts w:ascii="Arial" w:hAnsi="Arial" w:cs="Arial"/>
              </w:rPr>
              <w:t>secur</w:t>
            </w:r>
            <w:r w:rsidR="00F92BE8">
              <w:rPr>
                <w:rFonts w:ascii="Arial" w:hAnsi="Arial" w:cs="Arial"/>
              </w:rPr>
              <w:t>e</w:t>
            </w:r>
            <w:r w:rsidR="00A51BD9">
              <w:rPr>
                <w:rFonts w:ascii="Arial" w:hAnsi="Arial" w:cs="Arial"/>
              </w:rPr>
              <w:t xml:space="preserve"> funding and get</w:t>
            </w:r>
            <w:r w:rsidR="00B234E5">
              <w:rPr>
                <w:rFonts w:ascii="Arial" w:hAnsi="Arial" w:cs="Arial"/>
              </w:rPr>
              <w:t xml:space="preserve"> the </w:t>
            </w:r>
            <w:r w:rsidR="00A51BD9">
              <w:rPr>
                <w:rFonts w:ascii="Arial" w:hAnsi="Arial" w:cs="Arial"/>
              </w:rPr>
              <w:t xml:space="preserve">programme off the ground. Once funding is secured, a core </w:t>
            </w:r>
            <w:r w:rsidR="00B234E5">
              <w:rPr>
                <w:rFonts w:ascii="Arial" w:hAnsi="Arial" w:cs="Arial"/>
              </w:rPr>
              <w:t>team</w:t>
            </w:r>
            <w:r w:rsidR="00A51BD9">
              <w:rPr>
                <w:rFonts w:ascii="Arial" w:hAnsi="Arial" w:cs="Arial"/>
              </w:rPr>
              <w:t xml:space="preserve"> should be recruited to the programme to </w:t>
            </w:r>
            <w:r w:rsidR="008263A9">
              <w:rPr>
                <w:rFonts w:ascii="Arial" w:hAnsi="Arial" w:cs="Arial"/>
              </w:rPr>
              <w:t xml:space="preserve">continue its work. </w:t>
            </w:r>
          </w:p>
        </w:tc>
      </w:tr>
      <w:tr w:rsidR="00B57D90" w:rsidRPr="00D72A7B" w14:paraId="014EE113" w14:textId="77777777" w:rsidTr="00E21654">
        <w:trPr>
          <w:trHeight w:val="109"/>
        </w:trPr>
        <w:tc>
          <w:tcPr>
            <w:tcW w:w="1696" w:type="dxa"/>
          </w:tcPr>
          <w:p w14:paraId="5C20487B" w14:textId="4F475091" w:rsidR="00B57D90" w:rsidRDefault="00B57D90" w:rsidP="009C7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Identifying and securing a funding source </w:t>
            </w:r>
          </w:p>
        </w:tc>
        <w:tc>
          <w:tcPr>
            <w:tcW w:w="7320" w:type="dxa"/>
          </w:tcPr>
          <w:p w14:paraId="5D898F64" w14:textId="2B33437A" w:rsidR="00B57D90" w:rsidRDefault="00F14724" w:rsidP="00E21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potential funding source is</w:t>
            </w:r>
            <w:r w:rsidR="008263A9">
              <w:rPr>
                <w:rFonts w:ascii="Arial" w:hAnsi="Arial" w:cs="Arial"/>
              </w:rPr>
              <w:t xml:space="preserve"> the Core20PLUS5 health inequalities funding allocated to </w:t>
            </w:r>
            <w:r w:rsidR="00112E4F">
              <w:rPr>
                <w:rFonts w:ascii="Arial" w:hAnsi="Arial" w:cs="Arial"/>
              </w:rPr>
              <w:t>Integrated Care Boards</w:t>
            </w:r>
            <w:r w:rsidR="008263A9">
              <w:rPr>
                <w:rFonts w:ascii="Arial" w:hAnsi="Arial" w:cs="Arial"/>
              </w:rPr>
              <w:t>. Smoking contributes to all conditions listed</w:t>
            </w:r>
            <w:r>
              <w:rPr>
                <w:rFonts w:ascii="Arial" w:hAnsi="Arial" w:cs="Arial"/>
              </w:rPr>
              <w:t xml:space="preserve"> in the Core20PLUS5 framework </w:t>
            </w:r>
            <w:r w:rsidR="0097095E">
              <w:rPr>
                <w:rFonts w:ascii="Arial" w:hAnsi="Arial" w:cs="Arial"/>
              </w:rPr>
              <w:t xml:space="preserve">and </w:t>
            </w:r>
            <w:r w:rsidR="00F21892">
              <w:rPr>
                <w:rFonts w:ascii="Arial" w:hAnsi="Arial" w:cs="Arial"/>
              </w:rPr>
              <w:t xml:space="preserve">disproportionately impacts the Core20 population. Alternatively, pooled local authority budgets or a combination of the two could be considered.  </w:t>
            </w:r>
            <w:r w:rsidR="008263A9">
              <w:rPr>
                <w:rFonts w:ascii="Arial" w:hAnsi="Arial" w:cs="Arial"/>
              </w:rPr>
              <w:t xml:space="preserve">  </w:t>
            </w:r>
          </w:p>
        </w:tc>
      </w:tr>
    </w:tbl>
    <w:p w14:paraId="37F5214B" w14:textId="77777777" w:rsidR="00DB1349" w:rsidRPr="00D72A7B" w:rsidRDefault="00DB1349" w:rsidP="00BA6F39">
      <w:pPr>
        <w:rPr>
          <w:rFonts w:ascii="Arial" w:hAnsi="Arial" w:cs="Arial"/>
        </w:rPr>
      </w:pPr>
    </w:p>
    <w:sectPr w:rsidR="00DB1349" w:rsidRPr="00D72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4DCE"/>
    <w:multiLevelType w:val="hybridMultilevel"/>
    <w:tmpl w:val="35AA3ECA"/>
    <w:lvl w:ilvl="0" w:tplc="0809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" w15:restartNumberingAfterBreak="0">
    <w:nsid w:val="273E1E38"/>
    <w:multiLevelType w:val="hybridMultilevel"/>
    <w:tmpl w:val="26F61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05888"/>
    <w:multiLevelType w:val="hybridMultilevel"/>
    <w:tmpl w:val="53AA3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F1A52"/>
    <w:multiLevelType w:val="hybridMultilevel"/>
    <w:tmpl w:val="FCA0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7701">
    <w:abstractNumId w:val="0"/>
  </w:num>
  <w:num w:numId="2" w16cid:durableId="280650891">
    <w:abstractNumId w:val="3"/>
  </w:num>
  <w:num w:numId="3" w16cid:durableId="1963730147">
    <w:abstractNumId w:val="2"/>
  </w:num>
  <w:num w:numId="4" w16cid:durableId="193089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39"/>
    <w:rsid w:val="00006513"/>
    <w:rsid w:val="000433F5"/>
    <w:rsid w:val="000542D7"/>
    <w:rsid w:val="00080D2B"/>
    <w:rsid w:val="000C2F6A"/>
    <w:rsid w:val="000C3175"/>
    <w:rsid w:val="000D6C70"/>
    <w:rsid w:val="000E43B8"/>
    <w:rsid w:val="0010775A"/>
    <w:rsid w:val="00112E4F"/>
    <w:rsid w:val="00144B73"/>
    <w:rsid w:val="00165558"/>
    <w:rsid w:val="001718B5"/>
    <w:rsid w:val="001B10CC"/>
    <w:rsid w:val="001C6B4B"/>
    <w:rsid w:val="001D3C1D"/>
    <w:rsid w:val="001E40DE"/>
    <w:rsid w:val="00236F7F"/>
    <w:rsid w:val="002462BC"/>
    <w:rsid w:val="00260D5B"/>
    <w:rsid w:val="00267712"/>
    <w:rsid w:val="002969DC"/>
    <w:rsid w:val="002C3842"/>
    <w:rsid w:val="002E38FC"/>
    <w:rsid w:val="002E3D8C"/>
    <w:rsid w:val="00355543"/>
    <w:rsid w:val="00364196"/>
    <w:rsid w:val="003B19A4"/>
    <w:rsid w:val="0041523C"/>
    <w:rsid w:val="00445CC0"/>
    <w:rsid w:val="00483261"/>
    <w:rsid w:val="0054131C"/>
    <w:rsid w:val="0055365C"/>
    <w:rsid w:val="005B5641"/>
    <w:rsid w:val="005C5A12"/>
    <w:rsid w:val="005E2351"/>
    <w:rsid w:val="005F7EF6"/>
    <w:rsid w:val="00612E37"/>
    <w:rsid w:val="00625F5E"/>
    <w:rsid w:val="006508E5"/>
    <w:rsid w:val="00671AF6"/>
    <w:rsid w:val="006B1D97"/>
    <w:rsid w:val="006B5EC5"/>
    <w:rsid w:val="006E5714"/>
    <w:rsid w:val="006E778D"/>
    <w:rsid w:val="00702A82"/>
    <w:rsid w:val="00723A1E"/>
    <w:rsid w:val="007248F0"/>
    <w:rsid w:val="00741E99"/>
    <w:rsid w:val="00744B0C"/>
    <w:rsid w:val="00750854"/>
    <w:rsid w:val="007807A7"/>
    <w:rsid w:val="007855A5"/>
    <w:rsid w:val="007B0F5E"/>
    <w:rsid w:val="007E6ECB"/>
    <w:rsid w:val="00800EEC"/>
    <w:rsid w:val="00806052"/>
    <w:rsid w:val="008263A9"/>
    <w:rsid w:val="008411A6"/>
    <w:rsid w:val="008613FA"/>
    <w:rsid w:val="00875BCE"/>
    <w:rsid w:val="008C63DF"/>
    <w:rsid w:val="008E2A83"/>
    <w:rsid w:val="0091623F"/>
    <w:rsid w:val="00921942"/>
    <w:rsid w:val="00934F8B"/>
    <w:rsid w:val="00966398"/>
    <w:rsid w:val="0097095E"/>
    <w:rsid w:val="00A01821"/>
    <w:rsid w:val="00A0719A"/>
    <w:rsid w:val="00A51BD9"/>
    <w:rsid w:val="00A56599"/>
    <w:rsid w:val="00A63057"/>
    <w:rsid w:val="00A657CF"/>
    <w:rsid w:val="00A97D53"/>
    <w:rsid w:val="00AA0F1C"/>
    <w:rsid w:val="00AF3498"/>
    <w:rsid w:val="00B01F08"/>
    <w:rsid w:val="00B06264"/>
    <w:rsid w:val="00B234E5"/>
    <w:rsid w:val="00B52C9D"/>
    <w:rsid w:val="00B57D90"/>
    <w:rsid w:val="00B67133"/>
    <w:rsid w:val="00B67FD9"/>
    <w:rsid w:val="00B945C7"/>
    <w:rsid w:val="00BA6F39"/>
    <w:rsid w:val="00BB216F"/>
    <w:rsid w:val="00BB3D31"/>
    <w:rsid w:val="00BE4089"/>
    <w:rsid w:val="00C06FD5"/>
    <w:rsid w:val="00C32ED3"/>
    <w:rsid w:val="00C53185"/>
    <w:rsid w:val="00C54E56"/>
    <w:rsid w:val="00C67724"/>
    <w:rsid w:val="00C831A2"/>
    <w:rsid w:val="00C94457"/>
    <w:rsid w:val="00D06F78"/>
    <w:rsid w:val="00D20436"/>
    <w:rsid w:val="00D51853"/>
    <w:rsid w:val="00D661DC"/>
    <w:rsid w:val="00D67E46"/>
    <w:rsid w:val="00D72A7B"/>
    <w:rsid w:val="00DA5B68"/>
    <w:rsid w:val="00DB1349"/>
    <w:rsid w:val="00DB63CD"/>
    <w:rsid w:val="00DD7A13"/>
    <w:rsid w:val="00E01C19"/>
    <w:rsid w:val="00E12DB8"/>
    <w:rsid w:val="00E21654"/>
    <w:rsid w:val="00E517EF"/>
    <w:rsid w:val="00E85215"/>
    <w:rsid w:val="00EC2D9B"/>
    <w:rsid w:val="00F14724"/>
    <w:rsid w:val="00F21892"/>
    <w:rsid w:val="00F25FB8"/>
    <w:rsid w:val="00F30A69"/>
    <w:rsid w:val="00F35DE3"/>
    <w:rsid w:val="00F45594"/>
    <w:rsid w:val="00F738A5"/>
    <w:rsid w:val="00F741EA"/>
    <w:rsid w:val="00F82BEA"/>
    <w:rsid w:val="00F92BE8"/>
    <w:rsid w:val="00FE2FD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1649"/>
  <w15:chartTrackingRefBased/>
  <w15:docId w15:val="{599C5672-68BA-EA4F-AD6F-497C8B70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6F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A6F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F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13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44B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553EA454694B8CD2AA52A00C529E" ma:contentTypeVersion="16" ma:contentTypeDescription="Create a new document." ma:contentTypeScope="" ma:versionID="d27662799cfbf8af8fa830a3aad30cf6">
  <xsd:schema xmlns:xsd="http://www.w3.org/2001/XMLSchema" xmlns:xs="http://www.w3.org/2001/XMLSchema" xmlns:p="http://schemas.microsoft.com/office/2006/metadata/properties" xmlns:ns2="3a4543a0-6766-456e-a2ee-4414459d9a0a" xmlns:ns3="af7b454b-5578-4b92-ad2d-05626e091018" targetNamespace="http://schemas.microsoft.com/office/2006/metadata/properties" ma:root="true" ma:fieldsID="6a05d52439d97e3e3fc910ddb7e15c37" ns2:_="" ns3:_="">
    <xsd:import namespace="3a4543a0-6766-456e-a2ee-4414459d9a0a"/>
    <xsd:import namespace="af7b454b-5578-4b92-ad2d-05626e091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43a0-6766-456e-a2ee-4414459d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d2e6d8-cbd0-4db0-ba36-afbb08a2c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454b-5578-4b92-ad2d-05626e091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5b07f2-ba60-4e2c-beaf-204d65fe82c0}" ma:internalName="TaxCatchAll" ma:showField="CatchAllData" ma:web="af7b454b-5578-4b92-ad2d-05626e091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59D7F-25BF-4484-BA6F-A81BC7335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43a0-6766-456e-a2ee-4414459d9a0a"/>
    <ds:schemaRef ds:uri="af7b454b-5578-4b92-ad2d-05626e091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B0761-BEEF-44C9-A7B2-63113B02F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Emily Reed</cp:lastModifiedBy>
  <cp:revision>8</cp:revision>
  <dcterms:created xsi:type="dcterms:W3CDTF">2023-06-06T10:08:00Z</dcterms:created>
  <dcterms:modified xsi:type="dcterms:W3CDTF">2023-07-04T15:21:00Z</dcterms:modified>
</cp:coreProperties>
</file>